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49F0" w14:textId="50D208A0" w:rsidR="00004C59" w:rsidRPr="00AF1D1C" w:rsidRDefault="00CE7AD4" w:rsidP="00CC2FD2">
      <w:pPr>
        <w:spacing w:after="0" w:line="240" w:lineRule="auto"/>
        <w:jc w:val="right"/>
        <w:rPr>
          <w:rFonts w:cstheme="minorHAnsi"/>
        </w:rPr>
      </w:pPr>
      <w:bookmarkStart w:id="0" w:name="_GoBack"/>
      <w:bookmarkEnd w:id="0"/>
      <w:r>
        <w:rPr>
          <w:rFonts w:cstheme="minorHAnsi"/>
        </w:rPr>
        <w:t xml:space="preserve">March </w:t>
      </w:r>
      <w:r w:rsidRPr="00CE7AD4">
        <w:rPr>
          <w:rFonts w:cstheme="minorHAnsi"/>
          <w:b/>
          <w:highlight w:val="yellow"/>
        </w:rPr>
        <w:t>XX</w:t>
      </w:r>
      <w:r>
        <w:rPr>
          <w:rFonts w:cstheme="minorHAnsi"/>
        </w:rPr>
        <w:t>, 2023</w:t>
      </w:r>
    </w:p>
    <w:p w14:paraId="7F8B3B33" w14:textId="77777777" w:rsidR="00CC2FD2" w:rsidRPr="00AF1D1C" w:rsidRDefault="00CC2FD2" w:rsidP="00CC2FD2">
      <w:pPr>
        <w:spacing w:after="0" w:line="240" w:lineRule="auto"/>
        <w:jc w:val="center"/>
        <w:rPr>
          <w:rFonts w:cstheme="minorHAnsi"/>
          <w:b/>
        </w:rPr>
      </w:pPr>
    </w:p>
    <w:p w14:paraId="1B6B0A84" w14:textId="77777777" w:rsidR="00CC2FD2" w:rsidRPr="00AF1D1C" w:rsidRDefault="00CC2FD2" w:rsidP="00CC2FD2">
      <w:pPr>
        <w:autoSpaceDE w:val="0"/>
        <w:autoSpaceDN w:val="0"/>
        <w:adjustRightInd w:val="0"/>
        <w:spacing w:after="0" w:line="240" w:lineRule="auto"/>
        <w:rPr>
          <w:rFonts w:cstheme="minorHAnsi"/>
        </w:rPr>
      </w:pPr>
    </w:p>
    <w:p w14:paraId="747F2E82" w14:textId="2ACAB40F" w:rsidR="007466BD" w:rsidRDefault="007466BD" w:rsidP="00CC2FD2">
      <w:pPr>
        <w:autoSpaceDE w:val="0"/>
        <w:autoSpaceDN w:val="0"/>
        <w:adjustRightInd w:val="0"/>
        <w:spacing w:after="0" w:line="240" w:lineRule="auto"/>
        <w:rPr>
          <w:rFonts w:cstheme="minorHAnsi"/>
        </w:rPr>
      </w:pPr>
      <w:r>
        <w:rPr>
          <w:rFonts w:cstheme="minorHAnsi"/>
        </w:rPr>
        <w:t>Dear</w:t>
      </w:r>
      <w:r w:rsidR="00D524B5">
        <w:rPr>
          <w:rFonts w:cstheme="minorHAnsi"/>
        </w:rPr>
        <w:t xml:space="preserve"> </w:t>
      </w:r>
      <w:r w:rsidR="00302F70">
        <w:rPr>
          <w:rFonts w:cstheme="minorHAnsi"/>
        </w:rPr>
        <w:t>colleague,</w:t>
      </w:r>
    </w:p>
    <w:p w14:paraId="4E283925" w14:textId="77777777" w:rsidR="007466BD" w:rsidRDefault="007466BD" w:rsidP="00CC2FD2">
      <w:pPr>
        <w:autoSpaceDE w:val="0"/>
        <w:autoSpaceDN w:val="0"/>
        <w:adjustRightInd w:val="0"/>
        <w:spacing w:after="0" w:line="240" w:lineRule="auto"/>
        <w:rPr>
          <w:rFonts w:cstheme="minorHAnsi"/>
        </w:rPr>
      </w:pPr>
    </w:p>
    <w:p w14:paraId="78252D75" w14:textId="0532061D" w:rsidR="00872D07" w:rsidRDefault="00D524B5" w:rsidP="00CF580B">
      <w:pPr>
        <w:keepNext/>
        <w:spacing w:after="0" w:line="240" w:lineRule="auto"/>
        <w:ind w:right="187"/>
      </w:pPr>
      <w:r>
        <w:rPr>
          <w:rFonts w:eastAsia="Times New Roman" w:cstheme="majorHAnsi"/>
        </w:rPr>
        <w:t>We are</w:t>
      </w:r>
      <w:r w:rsidRPr="008764D6">
        <w:rPr>
          <w:rFonts w:eastAsia="Times New Roman" w:cstheme="majorHAnsi"/>
        </w:rPr>
        <w:t xml:space="preserve"> writing to </w:t>
      </w:r>
      <w:r w:rsidR="00B27218">
        <w:rPr>
          <w:rFonts w:eastAsia="Times New Roman" w:cstheme="majorHAnsi"/>
        </w:rPr>
        <w:t>urge you</w:t>
      </w:r>
      <w:r w:rsidRPr="008764D6">
        <w:rPr>
          <w:rFonts w:eastAsia="Times New Roman" w:cstheme="majorHAnsi"/>
        </w:rPr>
        <w:t xml:space="preserve"> </w:t>
      </w:r>
      <w:r w:rsidRPr="00CE7AD4">
        <w:rPr>
          <w:rFonts w:eastAsia="Times New Roman" w:cstheme="majorHAnsi"/>
          <w:b/>
        </w:rPr>
        <w:t xml:space="preserve">to </w:t>
      </w:r>
      <w:r w:rsidR="00972172" w:rsidRPr="00CE7AD4">
        <w:rPr>
          <w:rFonts w:eastAsia="Times New Roman" w:cstheme="majorHAnsi"/>
          <w:b/>
        </w:rPr>
        <w:t>provide</w:t>
      </w:r>
      <w:r w:rsidR="00B27218" w:rsidRPr="00CE7AD4">
        <w:rPr>
          <w:rFonts w:eastAsia="Times New Roman" w:cstheme="majorHAnsi"/>
          <w:b/>
        </w:rPr>
        <w:t xml:space="preserve"> at least</w:t>
      </w:r>
      <w:r w:rsidR="00972172" w:rsidRPr="00CE7AD4">
        <w:rPr>
          <w:rFonts w:eastAsia="Times New Roman" w:cstheme="majorHAnsi"/>
          <w:b/>
        </w:rPr>
        <w:t xml:space="preserve"> $100 million for the</w:t>
      </w:r>
      <w:r w:rsidRPr="00CE7AD4">
        <w:rPr>
          <w:rFonts w:eastAsia="Times New Roman" w:cstheme="majorHAnsi"/>
          <w:b/>
        </w:rPr>
        <w:t xml:space="preserve"> </w:t>
      </w:r>
      <w:r w:rsidR="00341B70" w:rsidRPr="00CE7AD4">
        <w:rPr>
          <w:rFonts w:eastAsia="Times New Roman" w:cstheme="majorHAnsi"/>
          <w:b/>
        </w:rPr>
        <w:t>S</w:t>
      </w:r>
      <w:r w:rsidRPr="00CE7AD4">
        <w:rPr>
          <w:rFonts w:eastAsia="Times New Roman" w:cstheme="majorHAnsi"/>
          <w:b/>
        </w:rPr>
        <w:t>tate</w:t>
      </w:r>
      <w:r w:rsidR="001B246C" w:rsidRPr="00CE7AD4">
        <w:rPr>
          <w:rFonts w:eastAsia="Times New Roman" w:cstheme="majorHAnsi"/>
          <w:b/>
        </w:rPr>
        <w:t>wide</w:t>
      </w:r>
      <w:r w:rsidRPr="00CE7AD4">
        <w:rPr>
          <w:rFonts w:eastAsia="Times New Roman" w:cstheme="majorHAnsi"/>
          <w:b/>
        </w:rPr>
        <w:t xml:space="preserve"> </w:t>
      </w:r>
      <w:r w:rsidR="00341B70" w:rsidRPr="00CE7AD4">
        <w:rPr>
          <w:rFonts w:eastAsia="Times New Roman" w:cstheme="majorHAnsi"/>
          <w:b/>
        </w:rPr>
        <w:t>L</w:t>
      </w:r>
      <w:r w:rsidRPr="00CE7AD4">
        <w:rPr>
          <w:rFonts w:eastAsia="Times New Roman" w:cstheme="majorHAnsi"/>
          <w:b/>
        </w:rPr>
        <w:t xml:space="preserve">ongitudinal </w:t>
      </w:r>
      <w:r w:rsidR="00341B70" w:rsidRPr="00CE7AD4">
        <w:rPr>
          <w:rFonts w:eastAsia="Times New Roman" w:cstheme="majorHAnsi"/>
          <w:b/>
        </w:rPr>
        <w:t>D</w:t>
      </w:r>
      <w:r w:rsidRPr="00CE7AD4">
        <w:rPr>
          <w:rFonts w:eastAsia="Times New Roman" w:cstheme="majorHAnsi"/>
          <w:b/>
        </w:rPr>
        <w:t xml:space="preserve">ata </w:t>
      </w:r>
      <w:r w:rsidR="00341B70" w:rsidRPr="00CE7AD4">
        <w:rPr>
          <w:rFonts w:eastAsia="Times New Roman" w:cstheme="majorHAnsi"/>
          <w:b/>
        </w:rPr>
        <w:t>S</w:t>
      </w:r>
      <w:r w:rsidRPr="00CE7AD4">
        <w:rPr>
          <w:rFonts w:eastAsia="Times New Roman" w:cstheme="majorHAnsi"/>
          <w:b/>
        </w:rPr>
        <w:t>ystems (SLDS) program</w:t>
      </w:r>
      <w:r w:rsidR="00366668" w:rsidRPr="00CE7AD4">
        <w:rPr>
          <w:rFonts w:eastAsia="Times New Roman" w:cstheme="majorHAnsi"/>
          <w:b/>
        </w:rPr>
        <w:t xml:space="preserve"> and $40 million for the Workforce Data Quality Initiative (WDQI) grants</w:t>
      </w:r>
      <w:r w:rsidRPr="00CE7AD4">
        <w:rPr>
          <w:rFonts w:eastAsia="Times New Roman" w:cstheme="majorHAnsi"/>
          <w:b/>
        </w:rPr>
        <w:t xml:space="preserve"> </w:t>
      </w:r>
      <w:r w:rsidR="00CE7AD4" w:rsidRPr="00CE7AD4">
        <w:rPr>
          <w:rFonts w:eastAsia="Times New Roman" w:cstheme="majorHAnsi"/>
          <w:b/>
        </w:rPr>
        <w:t>for fiscal year 2024</w:t>
      </w:r>
      <w:r w:rsidRPr="00CE7AD4">
        <w:rPr>
          <w:rFonts w:eastAsia="Times New Roman" w:cstheme="majorHAnsi"/>
          <w:b/>
        </w:rPr>
        <w:t>.</w:t>
      </w:r>
      <w:r w:rsidR="00341B70" w:rsidRPr="00CE7AD4">
        <w:rPr>
          <w:rFonts w:eastAsia="Times New Roman" w:cstheme="majorHAnsi"/>
          <w:b/>
        </w:rPr>
        <w:t xml:space="preserve"> </w:t>
      </w:r>
      <w:r w:rsidR="00341B70">
        <w:rPr>
          <w:rFonts w:eastAsia="Times New Roman" w:cstheme="majorHAnsi"/>
        </w:rPr>
        <w:t>D</w:t>
      </w:r>
      <w:r w:rsidR="00341B70" w:rsidRPr="008764D6">
        <w:rPr>
          <w:rFonts w:eastAsia="Times New Roman" w:cstheme="majorHAnsi"/>
        </w:rPr>
        <w:t xml:space="preserve">ata systems are an indispensable </w:t>
      </w:r>
      <w:r w:rsidR="00341B70">
        <w:rPr>
          <w:rFonts w:eastAsia="Times New Roman" w:cstheme="majorHAnsi"/>
        </w:rPr>
        <w:t xml:space="preserve">tool for </w:t>
      </w:r>
      <w:r w:rsidR="00E62297">
        <w:rPr>
          <w:rFonts w:eastAsia="Times New Roman" w:cstheme="majorHAnsi"/>
        </w:rPr>
        <w:t>making informed decisions about priorities within communities, and existing state data systems are ill-equipped to address the complex and intertwined challenges that have emerged as a result of a multi-year pandemic</w:t>
      </w:r>
      <w:r w:rsidR="005F0122">
        <w:rPr>
          <w:rFonts w:eastAsia="Times New Roman" w:cstheme="majorHAnsi"/>
        </w:rPr>
        <w:t xml:space="preserve">. </w:t>
      </w:r>
      <w:r w:rsidR="00394C9B">
        <w:rPr>
          <w:rFonts w:eastAsia="Times New Roman" w:cstheme="majorHAnsi"/>
        </w:rPr>
        <w:t>S</w:t>
      </w:r>
      <w:r w:rsidR="00394C9B">
        <w:t xml:space="preserve">tates need federal support to evolve their data systems so that they </w:t>
      </w:r>
      <w:r w:rsidR="00CE7AD4">
        <w:t xml:space="preserve">are oriented toward access and </w:t>
      </w:r>
      <w:r w:rsidR="00394C9B">
        <w:t>s</w:t>
      </w:r>
      <w:r w:rsidR="00CE7AD4">
        <w:t>upport responsive policymaking. Currently the best mechanism</w:t>
      </w:r>
      <w:r w:rsidR="00CF580B">
        <w:t xml:space="preserve"> for providing federal financial support is bolstering funding through the</w:t>
      </w:r>
      <w:r w:rsidR="00394C9B">
        <w:t xml:space="preserve"> SLDS and WDQI gr</w:t>
      </w:r>
      <w:r w:rsidR="00CF580B">
        <w:t>ant programs</w:t>
      </w:r>
      <w:r w:rsidR="00394C9B">
        <w:t xml:space="preserve">. </w:t>
      </w:r>
    </w:p>
    <w:p w14:paraId="60430950" w14:textId="37956476" w:rsidR="00CF580B" w:rsidRPr="00CE7AD4" w:rsidRDefault="00CF580B" w:rsidP="00CF580B">
      <w:pPr>
        <w:keepNext/>
        <w:spacing w:after="0" w:line="240" w:lineRule="auto"/>
        <w:ind w:right="187"/>
        <w:rPr>
          <w:rFonts w:cstheme="minorHAnsi"/>
        </w:rPr>
      </w:pPr>
    </w:p>
    <w:p w14:paraId="6D09BB8A" w14:textId="0F82B89F" w:rsidR="00CE7AD4" w:rsidRPr="00CE7AD4" w:rsidRDefault="00CE7AD4" w:rsidP="00CE7AD4">
      <w:pPr>
        <w:widowControl w:val="0"/>
        <w:spacing w:line="240" w:lineRule="auto"/>
        <w:ind w:right="132"/>
        <w:rPr>
          <w:rFonts w:eastAsia="Times New Roman" w:cstheme="minorHAnsi"/>
        </w:rPr>
      </w:pPr>
      <w:r w:rsidRPr="00CE7AD4">
        <w:rPr>
          <w:rFonts w:eastAsia="Times New Roman" w:cstheme="minorHAnsi"/>
        </w:rPr>
        <w:t xml:space="preserve">SLDS and WDQI grants, and related agency technical assistance, support state policymakers, practitioners, individuals, and other stakeholders responsible for improving data collection and use. Since their creation, the SLDS and WDQI grant programs have helped states establish longitudinal data systems that provide families, students, educators, workforce leaders, and other officials with better, </w:t>
      </w:r>
      <w:proofErr w:type="gramStart"/>
      <w:r w:rsidRPr="00CE7AD4">
        <w:rPr>
          <w:rFonts w:eastAsia="Times New Roman" w:cstheme="minorHAnsi"/>
        </w:rPr>
        <w:t>more timely</w:t>
      </w:r>
      <w:proofErr w:type="gramEnd"/>
      <w:r w:rsidRPr="00CE7AD4">
        <w:rPr>
          <w:rFonts w:eastAsia="Times New Roman" w:cstheme="minorHAnsi"/>
        </w:rPr>
        <w:t xml:space="preserve"> data while protecting that data. These data systems help policymakers and practitioners answer questions about program outcomes and make key information transparent to families, students, and the public. They also support program evaluations and studies that examine long-term learning and other trends and identify opportunity gaps. </w:t>
      </w:r>
    </w:p>
    <w:p w14:paraId="296C8702" w14:textId="77777777" w:rsidR="00CE7AD4" w:rsidRPr="00CE7AD4" w:rsidRDefault="00CE7AD4" w:rsidP="00CE7AD4">
      <w:pPr>
        <w:widowControl w:val="0"/>
        <w:spacing w:line="240" w:lineRule="auto"/>
        <w:ind w:right="132"/>
        <w:rPr>
          <w:rFonts w:eastAsia="Times New Roman" w:cstheme="minorHAnsi"/>
        </w:rPr>
      </w:pPr>
      <w:r w:rsidRPr="00CE7AD4">
        <w:rPr>
          <w:rFonts w:eastAsia="Times New Roman" w:cstheme="minorHAnsi"/>
        </w:rPr>
        <w:t xml:space="preserve">Unfortunately, many data systems are outdated, </w:t>
      </w:r>
      <w:proofErr w:type="spellStart"/>
      <w:r w:rsidRPr="00CE7AD4">
        <w:rPr>
          <w:rFonts w:eastAsia="Times New Roman" w:cstheme="minorHAnsi"/>
        </w:rPr>
        <w:t>siloed</w:t>
      </w:r>
      <w:proofErr w:type="spellEnd"/>
      <w:r w:rsidRPr="00CE7AD4">
        <w:rPr>
          <w:rFonts w:eastAsia="Times New Roman" w:cstheme="minorHAnsi"/>
        </w:rPr>
        <w:t>, and under equipped to meet current needs. For example, according to a recent report from the U.S. Department of Education, just 31 percent of SLDS states and territories surveyed reported that K-12 student data was linked to workforce data.</w:t>
      </w:r>
      <w:r w:rsidRPr="00CE7AD4">
        <w:rPr>
          <w:rFonts w:eastAsia="Times New Roman" w:cstheme="minorHAnsi"/>
          <w:vertAlign w:val="superscript"/>
        </w:rPr>
        <w:footnoteReference w:id="1"/>
      </w:r>
      <w:r w:rsidRPr="00CE7AD4">
        <w:rPr>
          <w:rFonts w:eastAsia="Times New Roman" w:cstheme="minorHAnsi"/>
        </w:rPr>
        <w:t xml:space="preserve"> Only 53 and 51 percent reported linkages to early childhood and postsecondary data, respectively. Another report found that just 18 states have full pre-k through workforce data systems.</w:t>
      </w:r>
      <w:r w:rsidRPr="00CE7AD4">
        <w:rPr>
          <w:rFonts w:eastAsia="Times New Roman" w:cstheme="minorHAnsi"/>
          <w:vertAlign w:val="superscript"/>
        </w:rPr>
        <w:footnoteReference w:id="2"/>
      </w:r>
    </w:p>
    <w:p w14:paraId="454DECB8" w14:textId="78FB38A6" w:rsidR="00D524B5" w:rsidRDefault="00D524B5" w:rsidP="00DF4581">
      <w:pPr>
        <w:pStyle w:val="NoSpacing"/>
      </w:pPr>
      <w:r>
        <w:rPr>
          <w:rFonts w:eastAsia="Times New Roman" w:cstheme="majorHAnsi"/>
        </w:rPr>
        <w:t>S</w:t>
      </w:r>
      <w:r w:rsidRPr="009805C9">
        <w:t xml:space="preserve">tates and </w:t>
      </w:r>
      <w:r w:rsidR="00FC0F0B">
        <w:t>localities</w:t>
      </w:r>
      <w:r w:rsidRPr="009805C9">
        <w:t xml:space="preserve"> need federal support to update</w:t>
      </w:r>
      <w:r w:rsidR="00983CFD">
        <w:t xml:space="preserve"> critical</w:t>
      </w:r>
      <w:r w:rsidRPr="009805C9">
        <w:t xml:space="preserve"> data infrastructure </w:t>
      </w:r>
      <w:r w:rsidR="00FC0F0B">
        <w:t xml:space="preserve">so it evolves to support nimble </w:t>
      </w:r>
      <w:proofErr w:type="spellStart"/>
      <w:r w:rsidR="00FC0F0B">
        <w:t>decisionmaking</w:t>
      </w:r>
      <w:proofErr w:type="spellEnd"/>
      <w:r w:rsidR="00FC0F0B">
        <w:t xml:space="preserve"> and drive positive impacts for individuals and communities</w:t>
      </w:r>
      <w:r w:rsidRPr="009805C9">
        <w:t xml:space="preserve">. </w:t>
      </w:r>
      <w:r w:rsidR="00292CF3">
        <w:t>Updating state data</w:t>
      </w:r>
      <w:r w:rsidR="00983CFD">
        <w:t xml:space="preserve"> systems</w:t>
      </w:r>
      <w:r w:rsidR="002E5A64">
        <w:t xml:space="preserve"> and programs</w:t>
      </w:r>
      <w:r w:rsidR="00983CFD">
        <w:t xml:space="preserve"> </w:t>
      </w:r>
      <w:r w:rsidR="002E5A64">
        <w:t xml:space="preserve">– from early childhood through the workforce </w:t>
      </w:r>
      <w:r w:rsidR="00292CF3">
        <w:t>–</w:t>
      </w:r>
      <w:r w:rsidR="002E5A64">
        <w:t xml:space="preserve"> </w:t>
      </w:r>
      <w:r w:rsidRPr="009805C9">
        <w:t>will</w:t>
      </w:r>
      <w:r w:rsidR="00292CF3">
        <w:t xml:space="preserve"> enable them to</w:t>
      </w:r>
      <w:r w:rsidRPr="009805C9">
        <w:t xml:space="preserve"> </w:t>
      </w:r>
      <w:r w:rsidR="00983CFD">
        <w:t>be more effective</w:t>
      </w:r>
      <w:r>
        <w:t>,</w:t>
      </w:r>
      <w:r w:rsidR="002E5A64">
        <w:t xml:space="preserve"> accountable, and efficient</w:t>
      </w:r>
      <w:r>
        <w:t xml:space="preserve"> including by</w:t>
      </w:r>
      <w:r w:rsidRPr="009805C9">
        <w:t>:</w:t>
      </w:r>
    </w:p>
    <w:p w14:paraId="597F3B90" w14:textId="0669A871" w:rsidR="00D524B5" w:rsidRPr="009805C9" w:rsidRDefault="00CE7AD4" w:rsidP="00D524B5">
      <w:pPr>
        <w:pStyle w:val="ListParagraph"/>
        <w:numPr>
          <w:ilvl w:val="0"/>
          <w:numId w:val="11"/>
        </w:numPr>
        <w:spacing w:after="0" w:line="240" w:lineRule="auto"/>
      </w:pPr>
      <w:r>
        <w:t>Assisting parents in enrolling their children</w:t>
      </w:r>
      <w:r w:rsidR="00D524B5" w:rsidRPr="009805C9">
        <w:t xml:space="preserve"> in </w:t>
      </w:r>
      <w:r w:rsidR="002E5A64">
        <w:t>early learning</w:t>
      </w:r>
      <w:r w:rsidR="00D524B5" w:rsidRPr="009805C9">
        <w:t xml:space="preserve"> programs </w:t>
      </w:r>
      <w:r w:rsidR="002E5A64">
        <w:t xml:space="preserve">to boost kindergarten readiness rates and enable parents to return to work. </w:t>
      </w:r>
      <w:r w:rsidR="00D524B5" w:rsidRPr="009805C9">
        <w:t xml:space="preserve">  </w:t>
      </w:r>
    </w:p>
    <w:p w14:paraId="011CF2A9" w14:textId="07322726" w:rsidR="00D524B5" w:rsidRPr="009805C9" w:rsidRDefault="00D524B5" w:rsidP="00D524B5">
      <w:pPr>
        <w:pStyle w:val="ListParagraph"/>
        <w:numPr>
          <w:ilvl w:val="0"/>
          <w:numId w:val="11"/>
        </w:numPr>
        <w:spacing w:after="0" w:line="240" w:lineRule="auto"/>
      </w:pPr>
      <w:r w:rsidRPr="009805C9">
        <w:t>Connect</w:t>
      </w:r>
      <w:r>
        <w:t>ing</w:t>
      </w:r>
      <w:r w:rsidRPr="009805C9">
        <w:t xml:space="preserve"> students and families to </w:t>
      </w:r>
      <w:r w:rsidR="002E5A64">
        <w:t>wrap-around services d</w:t>
      </w:r>
      <w:r w:rsidR="00CE7AD4">
        <w:t>esigned to accelerate learning loss</w:t>
      </w:r>
      <w:r w:rsidRPr="009805C9">
        <w:t xml:space="preserve"> exacerbated by the pandemic. </w:t>
      </w:r>
    </w:p>
    <w:p w14:paraId="4E95EDB9" w14:textId="3B076CD0" w:rsidR="00D524B5" w:rsidRPr="009805C9" w:rsidRDefault="00CE7AD4" w:rsidP="00D524B5">
      <w:pPr>
        <w:pStyle w:val="ListParagraph"/>
        <w:numPr>
          <w:ilvl w:val="0"/>
          <w:numId w:val="11"/>
        </w:numPr>
        <w:spacing w:after="0" w:line="240" w:lineRule="auto"/>
      </w:pPr>
      <w:r>
        <w:t>Auto-admitting</w:t>
      </w:r>
      <w:r w:rsidR="00D524B5" w:rsidRPr="009805C9">
        <w:t xml:space="preserve"> eligible high school students into college to reverse major </w:t>
      </w:r>
      <w:r w:rsidR="002E5A64">
        <w:t xml:space="preserve">postsecondary enrollment </w:t>
      </w:r>
      <w:r w:rsidR="00D524B5" w:rsidRPr="009805C9">
        <w:t xml:space="preserve">declines. </w:t>
      </w:r>
    </w:p>
    <w:p w14:paraId="5435EC5F" w14:textId="13620796" w:rsidR="00CA0E53" w:rsidRPr="00CA0E53" w:rsidRDefault="00CA0E53" w:rsidP="00D524B5">
      <w:pPr>
        <w:pStyle w:val="ListParagraph"/>
        <w:numPr>
          <w:ilvl w:val="0"/>
          <w:numId w:val="11"/>
        </w:numPr>
        <w:spacing w:after="0" w:line="240" w:lineRule="auto"/>
        <w:rPr>
          <w:bCs/>
        </w:rPr>
      </w:pPr>
      <w:r w:rsidRPr="00CA0E53">
        <w:rPr>
          <w:bCs/>
        </w:rPr>
        <w:lastRenderedPageBreak/>
        <w:t xml:space="preserve">Providing a more complete picture </w:t>
      </w:r>
      <w:r w:rsidR="00CE7AD4">
        <w:rPr>
          <w:bCs/>
        </w:rPr>
        <w:t xml:space="preserve">of the value of postsecondary pathways so students and job seekers can make informed decisions about </w:t>
      </w:r>
      <w:r w:rsidRPr="00CA0E53">
        <w:rPr>
          <w:bCs/>
        </w:rPr>
        <w:t>which educat</w:t>
      </w:r>
      <w:r w:rsidR="00CE7AD4">
        <w:rPr>
          <w:bCs/>
        </w:rPr>
        <w:t>ion and career pathways are right for them, and policymakers can identify which approaches work</w:t>
      </w:r>
      <w:r w:rsidRPr="00CA0E53">
        <w:rPr>
          <w:bCs/>
        </w:rPr>
        <w:t xml:space="preserve"> and which do not. </w:t>
      </w:r>
    </w:p>
    <w:p w14:paraId="3636FB05" w14:textId="4BD79B9B" w:rsidR="00D524B5" w:rsidRPr="003619DE" w:rsidRDefault="00D524B5" w:rsidP="00D524B5">
      <w:pPr>
        <w:pStyle w:val="ListParagraph"/>
        <w:numPr>
          <w:ilvl w:val="0"/>
          <w:numId w:val="11"/>
        </w:numPr>
        <w:spacing w:after="0" w:line="240" w:lineRule="auto"/>
        <w:rPr>
          <w:b/>
        </w:rPr>
      </w:pPr>
      <w:r w:rsidRPr="009805C9">
        <w:t>Identify</w:t>
      </w:r>
      <w:r>
        <w:t>ing</w:t>
      </w:r>
      <w:r w:rsidRPr="009805C9">
        <w:t xml:space="preserve"> </w:t>
      </w:r>
      <w:r w:rsidR="002E5A64">
        <w:t xml:space="preserve">unemployed </w:t>
      </w:r>
      <w:r w:rsidR="00CA0E53">
        <w:t xml:space="preserve">or underemployed </w:t>
      </w:r>
      <w:r w:rsidRPr="009805C9">
        <w:t xml:space="preserve">workers who are eligible for Pell Grants or other </w:t>
      </w:r>
      <w:r w:rsidR="003619DE">
        <w:t xml:space="preserve">sources of </w:t>
      </w:r>
      <w:r w:rsidRPr="009805C9">
        <w:t xml:space="preserve">financial aid to support </w:t>
      </w:r>
      <w:r w:rsidR="002E5A64">
        <w:t>enrollment in</w:t>
      </w:r>
      <w:r w:rsidRPr="009805C9">
        <w:t xml:space="preserve"> postsecondary education or training to</w:t>
      </w:r>
      <w:r w:rsidR="00CA0E53">
        <w:t xml:space="preserve"> reskill and</w:t>
      </w:r>
      <w:r w:rsidRPr="009805C9">
        <w:t xml:space="preserve"> upskill for new </w:t>
      </w:r>
      <w:r w:rsidR="003619DE">
        <w:t>careers</w:t>
      </w:r>
      <w:r>
        <w:t>.</w:t>
      </w:r>
    </w:p>
    <w:p w14:paraId="3D0B8052" w14:textId="77777777" w:rsidR="003619DE" w:rsidRPr="003619DE" w:rsidRDefault="003619DE" w:rsidP="003619DE">
      <w:pPr>
        <w:pStyle w:val="ListParagraph"/>
        <w:spacing w:after="0" w:line="240" w:lineRule="auto"/>
        <w:rPr>
          <w:b/>
        </w:rPr>
      </w:pPr>
    </w:p>
    <w:p w14:paraId="248CAD78" w14:textId="34298F38" w:rsidR="00CE7AD4" w:rsidRPr="00CE7AD4" w:rsidRDefault="00CE7AD4" w:rsidP="00CE7AD4">
      <w:pPr>
        <w:widowControl w:val="0"/>
        <w:spacing w:line="240" w:lineRule="auto"/>
        <w:ind w:right="132"/>
        <w:rPr>
          <w:rFonts w:ascii="Calibri" w:eastAsia="Times New Roman" w:hAnsi="Calibri" w:cs="Calibri"/>
        </w:rPr>
      </w:pPr>
      <w:r w:rsidRPr="00CE7AD4">
        <w:rPr>
          <w:rFonts w:ascii="Calibri" w:eastAsia="Times New Roman" w:hAnsi="Calibri" w:cs="Calibri"/>
        </w:rPr>
        <w:t>Modernizing state data system</w:t>
      </w:r>
      <w:r>
        <w:rPr>
          <w:rFonts w:ascii="Calibri" w:eastAsia="Times New Roman" w:hAnsi="Calibri" w:cs="Calibri"/>
        </w:rPr>
        <w:t>s to meet these needs</w:t>
      </w:r>
      <w:r w:rsidRPr="00CE7AD4">
        <w:rPr>
          <w:rFonts w:ascii="Calibri" w:eastAsia="Times New Roman" w:hAnsi="Calibri" w:cs="Calibri"/>
        </w:rPr>
        <w:t xml:space="preserve"> requires robust data governance, privacy, and security. Joint privacy guidance for SLDS and WDQI grantees will help them develop effective</w:t>
      </w:r>
      <w:r>
        <w:rPr>
          <w:rFonts w:ascii="Calibri" w:eastAsia="Times New Roman" w:hAnsi="Calibri" w:cs="Calibri"/>
        </w:rPr>
        <w:t>,</w:t>
      </w:r>
      <w:r w:rsidRPr="00CE7AD4">
        <w:rPr>
          <w:rFonts w:ascii="Calibri" w:eastAsia="Times New Roman" w:hAnsi="Calibri" w:cs="Calibri"/>
        </w:rPr>
        <w:t xml:space="preserve"> integrated data systems and the policies and pr</w:t>
      </w:r>
      <w:r>
        <w:rPr>
          <w:rFonts w:ascii="Calibri" w:eastAsia="Times New Roman" w:hAnsi="Calibri" w:cs="Calibri"/>
        </w:rPr>
        <w:t>ocedures that safeguard data. Federal agencies also</w:t>
      </w:r>
      <w:r w:rsidRPr="00CE7AD4">
        <w:rPr>
          <w:rFonts w:ascii="Calibri" w:eastAsia="Times New Roman" w:hAnsi="Calibri" w:cs="Calibri"/>
        </w:rPr>
        <w:t xml:space="preserve"> should provide the technical assistance states need to ensure robust privacy and transparency safeguards are in place.</w:t>
      </w:r>
    </w:p>
    <w:p w14:paraId="1B838760" w14:textId="48026E31" w:rsidR="00CE7AD4" w:rsidRDefault="00CA0E53" w:rsidP="00D524B5">
      <w:pPr>
        <w:rPr>
          <w:rFonts w:eastAsia="Times New Roman" w:cstheme="majorHAnsi"/>
        </w:rPr>
      </w:pPr>
      <w:r>
        <w:rPr>
          <w:rFonts w:eastAsia="Times New Roman" w:cstheme="majorHAnsi"/>
        </w:rPr>
        <w:t xml:space="preserve">A new </w:t>
      </w:r>
      <w:r w:rsidR="00292CF3">
        <w:rPr>
          <w:rFonts w:eastAsia="Times New Roman" w:cstheme="majorHAnsi"/>
        </w:rPr>
        <w:t xml:space="preserve">investment in these </w:t>
      </w:r>
      <w:r w:rsidR="002E5A64">
        <w:rPr>
          <w:rFonts w:eastAsia="Times New Roman" w:cstheme="majorHAnsi"/>
        </w:rPr>
        <w:t>program</w:t>
      </w:r>
      <w:r w:rsidR="00292CF3">
        <w:rPr>
          <w:rFonts w:eastAsia="Times New Roman" w:cstheme="majorHAnsi"/>
        </w:rPr>
        <w:t>s</w:t>
      </w:r>
      <w:r w:rsidR="00D353DE">
        <w:rPr>
          <w:rFonts w:eastAsia="Times New Roman" w:cstheme="majorHAnsi"/>
        </w:rPr>
        <w:t xml:space="preserve"> - $100 million for SLDS and $40 million for WDQI – would </w:t>
      </w:r>
      <w:r w:rsidR="00FC0F0B">
        <w:rPr>
          <w:rFonts w:eastAsia="Times New Roman" w:cstheme="majorHAnsi"/>
        </w:rPr>
        <w:t>enable planning for the next evolution of state data systems;</w:t>
      </w:r>
      <w:r w:rsidR="002E5A64">
        <w:rPr>
          <w:rFonts w:eastAsia="Times New Roman" w:cstheme="majorHAnsi"/>
        </w:rPr>
        <w:t xml:space="preserve"> support</w:t>
      </w:r>
      <w:r w:rsidR="00DF4581">
        <w:rPr>
          <w:rFonts w:eastAsia="Times New Roman" w:cstheme="majorHAnsi"/>
        </w:rPr>
        <w:t xml:space="preserve"> updat</w:t>
      </w:r>
      <w:r w:rsidR="002E5A64">
        <w:rPr>
          <w:rFonts w:eastAsia="Times New Roman" w:cstheme="majorHAnsi"/>
        </w:rPr>
        <w:t>es to</w:t>
      </w:r>
      <w:r w:rsidR="00D524B5" w:rsidRPr="008764D6">
        <w:rPr>
          <w:rFonts w:eastAsia="Times New Roman" w:cstheme="majorHAnsi"/>
        </w:rPr>
        <w:t xml:space="preserve"> data system technology; </w:t>
      </w:r>
      <w:r w:rsidR="00D524B5">
        <w:rPr>
          <w:rFonts w:eastAsia="Times New Roman" w:cstheme="majorHAnsi"/>
        </w:rPr>
        <w:t>build stronger data linkages</w:t>
      </w:r>
      <w:r w:rsidR="00D524B5" w:rsidRPr="008764D6">
        <w:rPr>
          <w:rFonts w:eastAsia="Times New Roman" w:cstheme="majorHAnsi"/>
        </w:rPr>
        <w:t xml:space="preserve"> between </w:t>
      </w:r>
      <w:r w:rsidR="00D524B5">
        <w:rPr>
          <w:rFonts w:eastAsia="Times New Roman" w:cstheme="majorHAnsi"/>
        </w:rPr>
        <w:t xml:space="preserve">early learning, </w:t>
      </w:r>
      <w:r w:rsidR="002E5A64">
        <w:rPr>
          <w:rFonts w:eastAsia="Times New Roman" w:cstheme="majorHAnsi"/>
        </w:rPr>
        <w:t>elementary and secondary,</w:t>
      </w:r>
      <w:r w:rsidR="00D524B5">
        <w:rPr>
          <w:rFonts w:eastAsia="Times New Roman" w:cstheme="majorHAnsi"/>
        </w:rPr>
        <w:t xml:space="preserve"> and postsecondary </w:t>
      </w:r>
      <w:r w:rsidR="00D524B5" w:rsidRPr="008764D6">
        <w:rPr>
          <w:rFonts w:eastAsia="Times New Roman" w:cstheme="majorHAnsi"/>
        </w:rPr>
        <w:t xml:space="preserve">education, workforce, health, and other data systems; support the human capacity needed to use and manage the information effectively and securely; </w:t>
      </w:r>
      <w:r w:rsidR="00D524B5">
        <w:rPr>
          <w:rFonts w:eastAsia="Times New Roman" w:cstheme="majorHAnsi"/>
        </w:rPr>
        <w:t>publish</w:t>
      </w:r>
      <w:r w:rsidR="00D524B5" w:rsidRPr="008764D6">
        <w:rPr>
          <w:rFonts w:eastAsia="Times New Roman" w:cstheme="majorHAnsi"/>
        </w:rPr>
        <w:t xml:space="preserve"> better quality data </w:t>
      </w:r>
      <w:r w:rsidR="00D524B5">
        <w:rPr>
          <w:rFonts w:eastAsia="Times New Roman" w:cstheme="majorHAnsi"/>
        </w:rPr>
        <w:t>about individual performance along the education-to-workforce pipeline; and support the creation of research-practice partnerships</w:t>
      </w:r>
      <w:r w:rsidR="00D524B5" w:rsidRPr="008764D6">
        <w:rPr>
          <w:rFonts w:eastAsia="Times New Roman" w:cstheme="majorHAnsi"/>
        </w:rPr>
        <w:t xml:space="preserve">. </w:t>
      </w:r>
      <w:r w:rsidR="00CE7AD4">
        <w:rPr>
          <w:rFonts w:eastAsia="Times New Roman" w:cstheme="majorHAnsi"/>
        </w:rPr>
        <w:t xml:space="preserve">Investing in </w:t>
      </w:r>
      <w:r w:rsidR="00D524B5" w:rsidRPr="008764D6">
        <w:rPr>
          <w:rFonts w:eastAsia="Times New Roman" w:cstheme="majorHAnsi"/>
        </w:rPr>
        <w:t xml:space="preserve">data infrastructure </w:t>
      </w:r>
      <w:r w:rsidR="00CE7AD4">
        <w:rPr>
          <w:rFonts w:eastAsia="Times New Roman" w:cstheme="majorHAnsi"/>
        </w:rPr>
        <w:t xml:space="preserve">will, most importantly, provide </w:t>
      </w:r>
      <w:r w:rsidR="00D524B5" w:rsidRPr="008764D6">
        <w:rPr>
          <w:rFonts w:eastAsia="Times New Roman" w:cstheme="majorHAnsi"/>
        </w:rPr>
        <w:t xml:space="preserve">state and local leaders </w:t>
      </w:r>
      <w:r w:rsidR="00CE7AD4">
        <w:rPr>
          <w:rFonts w:eastAsia="Times New Roman" w:cstheme="majorHAnsi"/>
        </w:rPr>
        <w:t xml:space="preserve">the ability to better </w:t>
      </w:r>
      <w:r w:rsidR="00D524B5" w:rsidRPr="008764D6">
        <w:rPr>
          <w:rFonts w:eastAsia="Times New Roman" w:cstheme="majorHAnsi"/>
        </w:rPr>
        <w:t xml:space="preserve">serve their communities. </w:t>
      </w:r>
    </w:p>
    <w:p w14:paraId="0B1405ED" w14:textId="4C20A5C0" w:rsidR="00D524B5" w:rsidRDefault="00D524B5" w:rsidP="00D524B5">
      <w:pPr>
        <w:rPr>
          <w:rFonts w:eastAsia="Times New Roman" w:cstheme="majorHAnsi"/>
        </w:rPr>
      </w:pPr>
      <w:r w:rsidRPr="00F84506">
        <w:t>We look forward to working with yo</w:t>
      </w:r>
      <w:r w:rsidR="00CE7AD4">
        <w:t>u and your colleagues in the 118</w:t>
      </w:r>
      <w:r w:rsidRPr="00F84506">
        <w:rPr>
          <w:vertAlign w:val="superscript"/>
        </w:rPr>
        <w:t>th</w:t>
      </w:r>
      <w:r w:rsidRPr="00F84506">
        <w:t xml:space="preserve"> Congress to make this v</w:t>
      </w:r>
      <w:r w:rsidR="00CE7AD4">
        <w:t xml:space="preserve">ision </w:t>
      </w:r>
      <w:r w:rsidRPr="00F84506">
        <w:t>a success.</w:t>
      </w:r>
    </w:p>
    <w:p w14:paraId="2ABB44BC" w14:textId="77777777" w:rsidR="00CE7AD4" w:rsidRPr="008764D6" w:rsidRDefault="00CE7AD4" w:rsidP="00D524B5">
      <w:pPr>
        <w:rPr>
          <w:rFonts w:eastAsia="Times New Roman" w:cstheme="majorHAnsi"/>
        </w:rPr>
      </w:pPr>
    </w:p>
    <w:p w14:paraId="1A341E4E" w14:textId="77777777" w:rsidR="00D524B5" w:rsidRPr="008764D6" w:rsidRDefault="00D524B5" w:rsidP="00D524B5">
      <w:pPr>
        <w:rPr>
          <w:rFonts w:eastAsia="Times New Roman" w:cstheme="majorHAnsi"/>
        </w:rPr>
      </w:pPr>
      <w:r w:rsidRPr="008764D6">
        <w:rPr>
          <w:rFonts w:eastAsia="Times New Roman" w:cstheme="majorHAnsi"/>
        </w:rPr>
        <w:t xml:space="preserve">Sincerely, </w:t>
      </w:r>
    </w:p>
    <w:p w14:paraId="5C7B5B91" w14:textId="2F2EFA8A" w:rsidR="00B0370A" w:rsidRPr="00AF1D1C" w:rsidRDefault="00302F70" w:rsidP="00CC2FD2">
      <w:pPr>
        <w:spacing w:after="0" w:line="240" w:lineRule="auto"/>
        <w:rPr>
          <w:rFonts w:cstheme="minorHAnsi"/>
          <w:color w:val="333333"/>
        </w:rPr>
      </w:pPr>
      <w:r>
        <w:rPr>
          <w:rFonts w:cstheme="minorHAnsi"/>
          <w:color w:val="333333"/>
        </w:rPr>
        <w:t>Data Quality Campaign</w:t>
      </w:r>
    </w:p>
    <w:sectPr w:rsidR="00B0370A" w:rsidRPr="00AF1D1C" w:rsidSect="00A54C3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89DBD" w14:textId="77777777" w:rsidR="002D3555" w:rsidRDefault="002D3555" w:rsidP="00A54C39">
      <w:pPr>
        <w:spacing w:after="0" w:line="240" w:lineRule="auto"/>
      </w:pPr>
      <w:r>
        <w:separator/>
      </w:r>
    </w:p>
  </w:endnote>
  <w:endnote w:type="continuationSeparator" w:id="0">
    <w:p w14:paraId="793F57EE" w14:textId="77777777" w:rsidR="002D3555" w:rsidRDefault="002D3555" w:rsidP="00A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7D9D7" w14:textId="77777777" w:rsidR="002D3555" w:rsidRDefault="002D3555" w:rsidP="00A54C39">
      <w:pPr>
        <w:spacing w:after="0" w:line="240" w:lineRule="auto"/>
      </w:pPr>
      <w:r>
        <w:separator/>
      </w:r>
    </w:p>
  </w:footnote>
  <w:footnote w:type="continuationSeparator" w:id="0">
    <w:p w14:paraId="405F19C2" w14:textId="77777777" w:rsidR="002D3555" w:rsidRDefault="002D3555" w:rsidP="00A54C39">
      <w:pPr>
        <w:spacing w:after="0" w:line="240" w:lineRule="auto"/>
      </w:pPr>
      <w:r>
        <w:continuationSeparator/>
      </w:r>
    </w:p>
  </w:footnote>
  <w:footnote w:id="1">
    <w:p w14:paraId="43842487" w14:textId="77777777" w:rsidR="00CE7AD4" w:rsidRPr="00CE7AD4" w:rsidRDefault="00CE7AD4" w:rsidP="00CE7AD4">
      <w:pPr>
        <w:spacing w:line="240" w:lineRule="auto"/>
        <w:rPr>
          <w:rFonts w:eastAsia="Times New Roman" w:cstheme="minorHAnsi"/>
          <w:sz w:val="20"/>
          <w:szCs w:val="20"/>
        </w:rPr>
      </w:pPr>
      <w:r>
        <w:rPr>
          <w:vertAlign w:val="superscript"/>
        </w:rPr>
        <w:footnoteRef/>
      </w:r>
      <w:r>
        <w:rPr>
          <w:rFonts w:ascii="Times New Roman" w:eastAsia="Times New Roman" w:hAnsi="Times New Roman" w:cs="Times New Roman"/>
          <w:sz w:val="20"/>
          <w:szCs w:val="20"/>
        </w:rPr>
        <w:t xml:space="preserve"> </w:t>
      </w:r>
      <w:r w:rsidRPr="00CE7AD4">
        <w:rPr>
          <w:rFonts w:eastAsia="Times New Roman" w:cstheme="minorHAnsi"/>
          <w:sz w:val="20"/>
          <w:szCs w:val="20"/>
        </w:rPr>
        <w:t xml:space="preserve">U.S. Department of Education. National Center for Education Statistics. Profile of State Data Capacity in 2018: Statewide Longitudinal Data Systems (SLDS) Survey Descriptive Statistics. </w:t>
      </w:r>
      <w:hyperlink r:id="rId1">
        <w:r w:rsidRPr="00CE7AD4">
          <w:rPr>
            <w:rFonts w:eastAsia="Times New Roman" w:cstheme="minorHAnsi"/>
            <w:color w:val="1155CC"/>
            <w:sz w:val="20"/>
            <w:szCs w:val="20"/>
            <w:u w:val="single"/>
          </w:rPr>
          <w:t>https://nces.ed.gov/Pubs2021/2021126/</w:t>
        </w:r>
      </w:hyperlink>
      <w:r w:rsidRPr="00CE7AD4">
        <w:rPr>
          <w:rFonts w:eastAsia="Times New Roman" w:cstheme="minorHAnsi"/>
          <w:sz w:val="20"/>
          <w:szCs w:val="20"/>
        </w:rPr>
        <w:t xml:space="preserve"> </w:t>
      </w:r>
    </w:p>
  </w:footnote>
  <w:footnote w:id="2">
    <w:p w14:paraId="3F7A2FDA" w14:textId="77777777" w:rsidR="00CE7AD4" w:rsidRDefault="00CE7AD4" w:rsidP="00CE7AD4">
      <w:pPr>
        <w:spacing w:line="240" w:lineRule="auto"/>
        <w:rPr>
          <w:rFonts w:ascii="Times New Roman" w:eastAsia="Times New Roman" w:hAnsi="Times New Roman" w:cs="Times New Roman"/>
          <w:sz w:val="20"/>
          <w:szCs w:val="20"/>
        </w:rPr>
      </w:pPr>
      <w:r w:rsidRPr="00CE7AD4">
        <w:rPr>
          <w:rFonts w:cstheme="minorHAnsi"/>
          <w:sz w:val="20"/>
          <w:szCs w:val="20"/>
          <w:vertAlign w:val="superscript"/>
        </w:rPr>
        <w:footnoteRef/>
      </w:r>
      <w:r w:rsidRPr="00CE7AD4">
        <w:rPr>
          <w:rFonts w:eastAsia="Times New Roman" w:cstheme="minorHAnsi"/>
          <w:sz w:val="20"/>
          <w:szCs w:val="20"/>
        </w:rPr>
        <w:t xml:space="preserve"> Education Commission of the States. 50-State Comparison: State Longitudinal Data Systems. </w:t>
      </w:r>
      <w:hyperlink r:id="rId2">
        <w:r w:rsidRPr="00CE7AD4">
          <w:rPr>
            <w:rFonts w:eastAsia="Times New Roman" w:cstheme="minorHAnsi"/>
            <w:color w:val="1155CC"/>
            <w:sz w:val="20"/>
            <w:szCs w:val="20"/>
            <w:u w:val="single"/>
          </w:rPr>
          <w:t>https://www.ecs.org/state-longitudinal-data-systems/</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39A9" w14:textId="77777777" w:rsidR="00A54C39" w:rsidRDefault="00AF1D1C" w:rsidP="00A54C39">
    <w:pPr>
      <w:pStyle w:val="Header"/>
      <w:jc w:val="center"/>
    </w:pPr>
    <w:r>
      <w:rPr>
        <w:noProof/>
      </w:rPr>
      <w:drawing>
        <wp:inline distT="0" distB="0" distL="0" distR="0" wp14:anchorId="4648C9EC" wp14:editId="71774CD5">
          <wp:extent cx="3200400" cy="54946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QC-Logo-Horizontal-Full Color.jpg"/>
                  <pic:cNvPicPr/>
                </pic:nvPicPr>
                <pic:blipFill>
                  <a:blip r:embed="rId1">
                    <a:extLst>
                      <a:ext uri="{28A0092B-C50C-407E-A947-70E740481C1C}">
                        <a14:useLocalDpi xmlns:a14="http://schemas.microsoft.com/office/drawing/2010/main" val="0"/>
                      </a:ext>
                    </a:extLst>
                  </a:blip>
                  <a:stretch>
                    <a:fillRect/>
                  </a:stretch>
                </pic:blipFill>
                <pic:spPr>
                  <a:xfrm>
                    <a:off x="0" y="0"/>
                    <a:ext cx="3200400" cy="549467"/>
                  </a:xfrm>
                  <a:prstGeom prst="rect">
                    <a:avLst/>
                  </a:prstGeom>
                </pic:spPr>
              </pic:pic>
            </a:graphicData>
          </a:graphic>
        </wp:inline>
      </w:drawing>
    </w:r>
  </w:p>
  <w:p w14:paraId="3393C5D6" w14:textId="77777777" w:rsidR="00A54C39" w:rsidRPr="00A54C39" w:rsidRDefault="00A54C39" w:rsidP="00A5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740"/>
    <w:multiLevelType w:val="hybridMultilevel"/>
    <w:tmpl w:val="F1A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5098"/>
    <w:multiLevelType w:val="hybridMultilevel"/>
    <w:tmpl w:val="2474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CB9"/>
    <w:multiLevelType w:val="hybridMultilevel"/>
    <w:tmpl w:val="BF1C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A5B1A"/>
    <w:multiLevelType w:val="multilevel"/>
    <w:tmpl w:val="A23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A4B1D"/>
    <w:multiLevelType w:val="hybridMultilevel"/>
    <w:tmpl w:val="CA0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A7734"/>
    <w:multiLevelType w:val="multilevel"/>
    <w:tmpl w:val="C84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F26C7"/>
    <w:multiLevelType w:val="hybridMultilevel"/>
    <w:tmpl w:val="9F44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B1658"/>
    <w:multiLevelType w:val="multilevel"/>
    <w:tmpl w:val="A56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B5DE1"/>
    <w:multiLevelType w:val="hybridMultilevel"/>
    <w:tmpl w:val="9D5E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A4C59"/>
    <w:multiLevelType w:val="multilevel"/>
    <w:tmpl w:val="5EFC6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C9090F"/>
    <w:multiLevelType w:val="multilevel"/>
    <w:tmpl w:val="6856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66DE2"/>
    <w:multiLevelType w:val="hybridMultilevel"/>
    <w:tmpl w:val="8326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84CC3"/>
    <w:multiLevelType w:val="hybridMultilevel"/>
    <w:tmpl w:val="293E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F1540"/>
    <w:multiLevelType w:val="hybridMultilevel"/>
    <w:tmpl w:val="E10C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7"/>
  </w:num>
  <w:num w:numId="5">
    <w:abstractNumId w:val="6"/>
  </w:num>
  <w:num w:numId="6">
    <w:abstractNumId w:val="11"/>
  </w:num>
  <w:num w:numId="7">
    <w:abstractNumId w:val="8"/>
  </w:num>
  <w:num w:numId="8">
    <w:abstractNumId w:val="12"/>
  </w:num>
  <w:num w:numId="9">
    <w:abstractNumId w:val="13"/>
  </w:num>
  <w:num w:numId="10">
    <w:abstractNumId w:val="0"/>
  </w:num>
  <w:num w:numId="11">
    <w:abstractNumId w:val="1"/>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MDI0MDUwMDM1NTJQ0lEKTi0uzszPAykwrAUA2l7wrCwAAAA="/>
  </w:docVars>
  <w:rsids>
    <w:rsidRoot w:val="006452AD"/>
    <w:rsid w:val="00002593"/>
    <w:rsid w:val="00004C59"/>
    <w:rsid w:val="00100240"/>
    <w:rsid w:val="001A5833"/>
    <w:rsid w:val="001B246C"/>
    <w:rsid w:val="001E390A"/>
    <w:rsid w:val="00226DE8"/>
    <w:rsid w:val="00285557"/>
    <w:rsid w:val="00292CF3"/>
    <w:rsid w:val="002D3555"/>
    <w:rsid w:val="002E5A64"/>
    <w:rsid w:val="00300390"/>
    <w:rsid w:val="00302F70"/>
    <w:rsid w:val="00332360"/>
    <w:rsid w:val="00341B70"/>
    <w:rsid w:val="00351088"/>
    <w:rsid w:val="003619DE"/>
    <w:rsid w:val="00366668"/>
    <w:rsid w:val="00377B1F"/>
    <w:rsid w:val="00385841"/>
    <w:rsid w:val="00394C9B"/>
    <w:rsid w:val="003A1B01"/>
    <w:rsid w:val="003C3005"/>
    <w:rsid w:val="003E2781"/>
    <w:rsid w:val="00420DEC"/>
    <w:rsid w:val="00482088"/>
    <w:rsid w:val="00560892"/>
    <w:rsid w:val="005F0122"/>
    <w:rsid w:val="006452AD"/>
    <w:rsid w:val="006A7731"/>
    <w:rsid w:val="006E3C82"/>
    <w:rsid w:val="007466BD"/>
    <w:rsid w:val="00783CA0"/>
    <w:rsid w:val="007849FE"/>
    <w:rsid w:val="00794CD9"/>
    <w:rsid w:val="007B2F32"/>
    <w:rsid w:val="007B5CB8"/>
    <w:rsid w:val="007C1AB9"/>
    <w:rsid w:val="00803987"/>
    <w:rsid w:val="00872D07"/>
    <w:rsid w:val="009203DE"/>
    <w:rsid w:val="00934BB0"/>
    <w:rsid w:val="00972172"/>
    <w:rsid w:val="00981F52"/>
    <w:rsid w:val="00983CFD"/>
    <w:rsid w:val="00984565"/>
    <w:rsid w:val="00A35ACB"/>
    <w:rsid w:val="00A47748"/>
    <w:rsid w:val="00A54C39"/>
    <w:rsid w:val="00A97B85"/>
    <w:rsid w:val="00AF1D1C"/>
    <w:rsid w:val="00B0370A"/>
    <w:rsid w:val="00B134FB"/>
    <w:rsid w:val="00B27218"/>
    <w:rsid w:val="00B914C0"/>
    <w:rsid w:val="00B97215"/>
    <w:rsid w:val="00C61552"/>
    <w:rsid w:val="00C81747"/>
    <w:rsid w:val="00C83939"/>
    <w:rsid w:val="00CA0E53"/>
    <w:rsid w:val="00CC2FD2"/>
    <w:rsid w:val="00CE7AD4"/>
    <w:rsid w:val="00CF580B"/>
    <w:rsid w:val="00D353DE"/>
    <w:rsid w:val="00D41551"/>
    <w:rsid w:val="00D4426B"/>
    <w:rsid w:val="00D524B5"/>
    <w:rsid w:val="00DB2369"/>
    <w:rsid w:val="00DF4581"/>
    <w:rsid w:val="00E62297"/>
    <w:rsid w:val="00E82201"/>
    <w:rsid w:val="00F15C34"/>
    <w:rsid w:val="00F42F01"/>
    <w:rsid w:val="00FC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2EF6A"/>
  <w15:chartTrackingRefBased/>
  <w15:docId w15:val="{C2ED6415-C7AE-4432-9874-152539E0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52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52AD"/>
    <w:rPr>
      <w:rFonts w:ascii="Times New Roman" w:eastAsia="Times New Roman" w:hAnsi="Times New Roman" w:cs="Times New Roman"/>
      <w:b/>
      <w:bCs/>
      <w:sz w:val="27"/>
      <w:szCs w:val="27"/>
    </w:rPr>
  </w:style>
  <w:style w:type="paragraph" w:customStyle="1" w:styleId="single-line">
    <w:name w:val="single-line"/>
    <w:basedOn w:val="Normal"/>
    <w:rsid w:val="005608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2781"/>
    <w:pPr>
      <w:ind w:left="720"/>
      <w:contextualSpacing/>
    </w:pPr>
  </w:style>
  <w:style w:type="character" w:styleId="Hyperlink">
    <w:name w:val="Hyperlink"/>
    <w:basedOn w:val="DefaultParagraphFont"/>
    <w:uiPriority w:val="99"/>
    <w:unhideWhenUsed/>
    <w:rsid w:val="00C81747"/>
    <w:rPr>
      <w:color w:val="0563C1" w:themeColor="hyperlink"/>
      <w:u w:val="single"/>
    </w:rPr>
  </w:style>
  <w:style w:type="character" w:styleId="FollowedHyperlink">
    <w:name w:val="FollowedHyperlink"/>
    <w:basedOn w:val="DefaultParagraphFont"/>
    <w:uiPriority w:val="99"/>
    <w:semiHidden/>
    <w:unhideWhenUsed/>
    <w:rsid w:val="00B134FB"/>
    <w:rPr>
      <w:color w:val="954F72" w:themeColor="followedHyperlink"/>
      <w:u w:val="single"/>
    </w:rPr>
  </w:style>
  <w:style w:type="paragraph" w:customStyle="1" w:styleId="after-p">
    <w:name w:val="after-p"/>
    <w:basedOn w:val="Normal"/>
    <w:rsid w:val="006E3C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C39"/>
  </w:style>
  <w:style w:type="paragraph" w:styleId="Footer">
    <w:name w:val="footer"/>
    <w:basedOn w:val="Normal"/>
    <w:link w:val="FooterChar"/>
    <w:uiPriority w:val="99"/>
    <w:unhideWhenUsed/>
    <w:rsid w:val="00A5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C39"/>
  </w:style>
  <w:style w:type="character" w:styleId="CommentReference">
    <w:name w:val="annotation reference"/>
    <w:basedOn w:val="DefaultParagraphFont"/>
    <w:uiPriority w:val="99"/>
    <w:semiHidden/>
    <w:unhideWhenUsed/>
    <w:rsid w:val="00D524B5"/>
    <w:rPr>
      <w:sz w:val="16"/>
      <w:szCs w:val="16"/>
    </w:rPr>
  </w:style>
  <w:style w:type="paragraph" w:styleId="CommentText">
    <w:name w:val="annotation text"/>
    <w:basedOn w:val="Normal"/>
    <w:link w:val="CommentTextChar"/>
    <w:uiPriority w:val="99"/>
    <w:semiHidden/>
    <w:unhideWhenUsed/>
    <w:rsid w:val="00D524B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524B5"/>
    <w:rPr>
      <w:sz w:val="20"/>
      <w:szCs w:val="20"/>
    </w:rPr>
  </w:style>
  <w:style w:type="paragraph" w:styleId="BalloonText">
    <w:name w:val="Balloon Text"/>
    <w:basedOn w:val="Normal"/>
    <w:link w:val="BalloonTextChar"/>
    <w:uiPriority w:val="99"/>
    <w:semiHidden/>
    <w:unhideWhenUsed/>
    <w:rsid w:val="00D52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4B5"/>
    <w:rPr>
      <w:rFonts w:ascii="Segoe UI" w:hAnsi="Segoe UI" w:cs="Segoe UI"/>
      <w:sz w:val="18"/>
      <w:szCs w:val="18"/>
    </w:rPr>
  </w:style>
  <w:style w:type="paragraph" w:styleId="NoSpacing">
    <w:name w:val="No Spacing"/>
    <w:uiPriority w:val="1"/>
    <w:qFormat/>
    <w:rsid w:val="00DF4581"/>
    <w:pPr>
      <w:spacing w:after="0" w:line="240" w:lineRule="auto"/>
    </w:pPr>
  </w:style>
  <w:style w:type="paragraph" w:styleId="Revision">
    <w:name w:val="Revision"/>
    <w:hidden/>
    <w:uiPriority w:val="99"/>
    <w:semiHidden/>
    <w:rsid w:val="00B27218"/>
    <w:pPr>
      <w:spacing w:after="0" w:line="240" w:lineRule="auto"/>
    </w:pPr>
  </w:style>
  <w:style w:type="paragraph" w:styleId="CommentSubject">
    <w:name w:val="annotation subject"/>
    <w:basedOn w:val="CommentText"/>
    <w:next w:val="CommentText"/>
    <w:link w:val="CommentSubjectChar"/>
    <w:uiPriority w:val="99"/>
    <w:semiHidden/>
    <w:unhideWhenUsed/>
    <w:rsid w:val="00CA0E53"/>
    <w:pPr>
      <w:spacing w:after="160"/>
    </w:pPr>
    <w:rPr>
      <w:b/>
      <w:bCs/>
    </w:rPr>
  </w:style>
  <w:style w:type="character" w:customStyle="1" w:styleId="CommentSubjectChar">
    <w:name w:val="Comment Subject Char"/>
    <w:basedOn w:val="CommentTextChar"/>
    <w:link w:val="CommentSubject"/>
    <w:uiPriority w:val="99"/>
    <w:semiHidden/>
    <w:rsid w:val="00CA0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313">
      <w:bodyDiv w:val="1"/>
      <w:marLeft w:val="0"/>
      <w:marRight w:val="0"/>
      <w:marTop w:val="0"/>
      <w:marBottom w:val="0"/>
      <w:divBdr>
        <w:top w:val="none" w:sz="0" w:space="0" w:color="auto"/>
        <w:left w:val="none" w:sz="0" w:space="0" w:color="auto"/>
        <w:bottom w:val="none" w:sz="0" w:space="0" w:color="auto"/>
        <w:right w:val="none" w:sz="0" w:space="0" w:color="auto"/>
      </w:divBdr>
    </w:div>
    <w:div w:id="71238327">
      <w:bodyDiv w:val="1"/>
      <w:marLeft w:val="0"/>
      <w:marRight w:val="0"/>
      <w:marTop w:val="0"/>
      <w:marBottom w:val="0"/>
      <w:divBdr>
        <w:top w:val="none" w:sz="0" w:space="0" w:color="auto"/>
        <w:left w:val="none" w:sz="0" w:space="0" w:color="auto"/>
        <w:bottom w:val="none" w:sz="0" w:space="0" w:color="auto"/>
        <w:right w:val="none" w:sz="0" w:space="0" w:color="auto"/>
      </w:divBdr>
    </w:div>
    <w:div w:id="829565305">
      <w:bodyDiv w:val="1"/>
      <w:marLeft w:val="0"/>
      <w:marRight w:val="0"/>
      <w:marTop w:val="0"/>
      <w:marBottom w:val="0"/>
      <w:divBdr>
        <w:top w:val="none" w:sz="0" w:space="0" w:color="auto"/>
        <w:left w:val="none" w:sz="0" w:space="0" w:color="auto"/>
        <w:bottom w:val="none" w:sz="0" w:space="0" w:color="auto"/>
        <w:right w:val="none" w:sz="0" w:space="0" w:color="auto"/>
      </w:divBdr>
    </w:div>
    <w:div w:id="926615290">
      <w:bodyDiv w:val="1"/>
      <w:marLeft w:val="0"/>
      <w:marRight w:val="0"/>
      <w:marTop w:val="0"/>
      <w:marBottom w:val="0"/>
      <w:divBdr>
        <w:top w:val="none" w:sz="0" w:space="0" w:color="auto"/>
        <w:left w:val="none" w:sz="0" w:space="0" w:color="auto"/>
        <w:bottom w:val="none" w:sz="0" w:space="0" w:color="auto"/>
        <w:right w:val="none" w:sz="0" w:space="0" w:color="auto"/>
      </w:divBdr>
    </w:div>
    <w:div w:id="929436857">
      <w:bodyDiv w:val="1"/>
      <w:marLeft w:val="0"/>
      <w:marRight w:val="0"/>
      <w:marTop w:val="0"/>
      <w:marBottom w:val="0"/>
      <w:divBdr>
        <w:top w:val="none" w:sz="0" w:space="0" w:color="auto"/>
        <w:left w:val="none" w:sz="0" w:space="0" w:color="auto"/>
        <w:bottom w:val="none" w:sz="0" w:space="0" w:color="auto"/>
        <w:right w:val="none" w:sz="0" w:space="0" w:color="auto"/>
      </w:divBdr>
    </w:div>
    <w:div w:id="1629970089">
      <w:bodyDiv w:val="1"/>
      <w:marLeft w:val="0"/>
      <w:marRight w:val="0"/>
      <w:marTop w:val="0"/>
      <w:marBottom w:val="0"/>
      <w:divBdr>
        <w:top w:val="none" w:sz="0" w:space="0" w:color="auto"/>
        <w:left w:val="none" w:sz="0" w:space="0" w:color="auto"/>
        <w:bottom w:val="none" w:sz="0" w:space="0" w:color="auto"/>
        <w:right w:val="none" w:sz="0" w:space="0" w:color="auto"/>
      </w:divBdr>
    </w:div>
    <w:div w:id="1764104058">
      <w:bodyDiv w:val="1"/>
      <w:marLeft w:val="0"/>
      <w:marRight w:val="0"/>
      <w:marTop w:val="0"/>
      <w:marBottom w:val="0"/>
      <w:divBdr>
        <w:top w:val="none" w:sz="0" w:space="0" w:color="auto"/>
        <w:left w:val="none" w:sz="0" w:space="0" w:color="auto"/>
        <w:bottom w:val="none" w:sz="0" w:space="0" w:color="auto"/>
        <w:right w:val="none" w:sz="0" w:space="0" w:color="auto"/>
      </w:divBdr>
    </w:div>
    <w:div w:id="1981571754">
      <w:bodyDiv w:val="1"/>
      <w:marLeft w:val="0"/>
      <w:marRight w:val="0"/>
      <w:marTop w:val="0"/>
      <w:marBottom w:val="0"/>
      <w:divBdr>
        <w:top w:val="none" w:sz="0" w:space="0" w:color="auto"/>
        <w:left w:val="none" w:sz="0" w:space="0" w:color="auto"/>
        <w:bottom w:val="none" w:sz="0" w:space="0" w:color="auto"/>
        <w:right w:val="none" w:sz="0" w:space="0" w:color="auto"/>
      </w:divBdr>
    </w:div>
    <w:div w:id="20159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cs.org/state-longitudinal-data-systems/" TargetMode="External"/><Relationship Id="rId1" Type="http://schemas.openxmlformats.org/officeDocument/2006/relationships/hyperlink" Target="https://nces.ed.gov/Pubs2021/20211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4F701CAD8A8244A8A5F46F223A6D98" ma:contentTypeVersion="14" ma:contentTypeDescription="Create a new document." ma:contentTypeScope="" ma:versionID="54d0ef506799ae4dada4f12afc687ccd">
  <xsd:schema xmlns:xsd="http://www.w3.org/2001/XMLSchema" xmlns:xs="http://www.w3.org/2001/XMLSchema" xmlns:p="http://schemas.microsoft.com/office/2006/metadata/properties" xmlns:ns2="bfd755d2-1cc6-4d1f-85e5-cb7ff110f015" xmlns:ns3="866492b8-7594-4e73-909c-fe763c8c2749" targetNamespace="http://schemas.microsoft.com/office/2006/metadata/properties" ma:root="true" ma:fieldsID="b7d807ee8ca0cc62dc8c0364aaf789c7" ns2:_="" ns3:_="">
    <xsd:import namespace="bfd755d2-1cc6-4d1f-85e5-cb7ff110f015"/>
    <xsd:import namespace="866492b8-7594-4e73-909c-fe763c8c2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55d2-1cc6-4d1f-85e5-cb7ff110f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0d8d5a-b6b3-40a2-bb09-de2990e72c3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492b8-7594-4e73-909c-fe763c8c27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832ab1-b951-4808-8b72-49b139059a2f}" ma:internalName="TaxCatchAll" ma:showField="CatchAllData" ma:web="866492b8-7594-4e73-909c-fe763c8c2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915A0-3F7D-4B3A-A8F3-CD467D93732D}">
  <ds:schemaRefs>
    <ds:schemaRef ds:uri="http://schemas.openxmlformats.org/officeDocument/2006/bibliography"/>
  </ds:schemaRefs>
</ds:datastoreItem>
</file>

<file path=customXml/itemProps2.xml><?xml version="1.0" encoding="utf-8"?>
<ds:datastoreItem xmlns:ds="http://schemas.openxmlformats.org/officeDocument/2006/customXml" ds:itemID="{CA4AC3A1-6CC6-4214-8F0A-02749D0C0531}"/>
</file>

<file path=customXml/itemProps3.xml><?xml version="1.0" encoding="utf-8"?>
<ds:datastoreItem xmlns:ds="http://schemas.openxmlformats.org/officeDocument/2006/customXml" ds:itemID="{CA857B0F-3136-456A-A807-AF35B1B05F92}"/>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Kate Tromble</cp:lastModifiedBy>
  <cp:revision>2</cp:revision>
  <dcterms:created xsi:type="dcterms:W3CDTF">2023-03-08T20:49:00Z</dcterms:created>
  <dcterms:modified xsi:type="dcterms:W3CDTF">2023-03-08T20:49:00Z</dcterms:modified>
</cp:coreProperties>
</file>